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widowControl w:val="0"/>
        <w:spacing w:line="36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17.6pt;margin-top:0.15pt;width:40.8pt;height:51.85pt;z-index:251657728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5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980" w:lineRule="exact"/>
                    <w:ind w:left="0" w:right="0" w:firstLine="0"/>
                  </w:pPr>
                  <w:r>
                    <w:rPr>
                      <w:lang w:val="ru-RU" w:eastAsia="ru-RU" w:bidi="ru-RU"/>
                      <w:w w:val="100"/>
                      <w:spacing w:val="0"/>
                      <w:color w:val="000000"/>
                      <w:position w:val="0"/>
                    </w:rPr>
                    <w:t>ф</w:t>
                  </w:r>
                </w:p>
              </w:txbxContent>
            </v:textbox>
            <w10:wrap anchorx="margin"/>
          </v:shape>
        </w:pict>
      </w:r>
      <w:r>
        <w:pict>
          <v:shape id="_x0000_s1027" type="#_x0000_t202" style="position:absolute;margin-left:497.75pt;margin-top:0.1pt;width:18.25pt;height:7.2pt;z-index:251657729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7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10" w:lineRule="exact"/>
                    <w:ind w:left="0" w:right="0" w:firstLine="0"/>
                  </w:pPr>
                  <w:r>
                    <w:rPr>
                      <w:lang w:val="ru-RU" w:eastAsia="ru-RU" w:bidi="ru-RU"/>
                      <w:w w:val="100"/>
                      <w:color w:val="000000"/>
                      <w:position w:val="0"/>
                    </w:rPr>
                    <w:t>Т=7Г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509.3pt;margin-top:7.65pt;width:15.35pt;height:19.95pt;z-index:251657730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9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360" w:lineRule="exact"/>
                    <w:ind w:left="0" w:right="0" w:firstLine="0"/>
                  </w:pPr>
                  <w:r>
                    <w:rPr>
                      <w:lang w:val="ru-RU" w:eastAsia="ru-RU" w:bidi="ru-RU"/>
                      <w:w w:val="100"/>
                      <w:spacing w:val="0"/>
                      <w:color w:val="000000"/>
                      <w:position w:val="0"/>
                    </w:rPr>
                    <w:t>ч</w:t>
                  </w:r>
                </w:p>
              </w:txbxContent>
            </v:textbox>
            <w10:wrap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235.2pt;margin-top:44.15pt;width:47.5pt;height:54.25pt;z-index:-251658752;mso-wrap-distance-left:5.pt;mso-wrap-distance-right:5.pt;mso-position-horizontal-relative:margin" wrapcoords="0 0">
            <v:imagedata r:id="rId5" r:href="rId6"/>
            <w10:wrap anchorx="margin"/>
          </v:shape>
        </w:pict>
      </w:r>
      <w:r>
        <w:pict>
          <v:shape id="_x0000_s1030" type="#_x0000_t202" style="position:absolute;margin-left:176.15pt;margin-top:112.55pt;width:161.75pt;height:15.15pt;z-index:251657731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1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40" w:lineRule="exact"/>
                    <w:ind w:left="0" w:right="0" w:firstLine="0"/>
                  </w:pPr>
                  <w:r>
                    <w:rPr>
                      <w:rStyle w:val="CharStyle13"/>
                      <w:b/>
                      <w:bCs/>
                    </w:rPr>
                    <w:t>ФЕДЕРАЛЬНАЯ СЛУЖБА</w:t>
                  </w:r>
                </w:p>
              </w:txbxContent>
            </v:textbox>
            <w10:wrap anchorx="margin"/>
          </v:shape>
        </w:pict>
      </w:r>
      <w:r>
        <w:pict>
          <v:shape id="_x0000_s1031" type="#_x0000_t75" style="position:absolute;margin-left:346.05pt;margin-top:44.15pt;width:183.35pt;height:82.55pt;z-index:-251658751;mso-wrap-distance-left:5.pt;mso-wrap-distance-right:5.pt;mso-position-horizontal-relative:margin" wrapcoords="0 0">
            <v:imagedata r:id="rId7" r:href="rId8"/>
            <w10:wrap anchorx="margin"/>
          </v:shape>
        </w:pict>
      </w:r>
      <w:r>
        <w:pict>
          <v:shape id="_x0000_s1032" type="#_x0000_t202" style="position:absolute;margin-left:22.55pt;margin-top:126.pt;width:468.95pt;height:33.55pt;z-index:251657732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1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113" w:line="240" w:lineRule="exact"/>
                    <w:ind w:left="0" w:right="0" w:firstLine="0"/>
                  </w:pPr>
                  <w:r>
                    <w:rPr>
                      <w:rStyle w:val="CharStyle13"/>
                      <w:b/>
                      <w:bCs/>
                    </w:rPr>
                    <w:t>ПО ЭКОЛОГИЧЕСКОМУ, ТЕХНОЛОГИЧЕСКОМУ И АТОМНОМУ НАД ГОРУ</w:t>
                  </w:r>
                </w:p>
                <w:p>
                  <w:pPr>
                    <w:pStyle w:val="Style1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center"/>
                    <w:spacing w:before="0" w:after="0" w:line="240" w:lineRule="exact"/>
                    <w:ind w:left="0" w:right="40" w:firstLine="0"/>
                  </w:pPr>
                  <w:r>
                    <w:rPr>
                      <w:rStyle w:val="CharStyle13"/>
                      <w:b/>
                      <w:bCs/>
                    </w:rPr>
                    <w:t>(РОСТЕХНАДЗОР)</w:t>
                  </w:r>
                </w:p>
              </w:txbxContent>
            </v:textbox>
            <w10:wrap anchorx="margin"/>
          </v:shape>
        </w:pict>
      </w:r>
      <w:r>
        <w:pict>
          <v:shape id="_x0000_s1033" type="#_x0000_t75" style="position:absolute;margin-left:5.e-002pt;margin-top:181.9pt;width:173.3pt;height:39.35pt;z-index:-251658750;mso-wrap-distance-left:5.pt;mso-wrap-distance-right:5.pt;mso-position-horizontal-relative:margin" wrapcoords="0 0">
            <v:imagedata r:id="rId9" r:href="rId10"/>
            <w10:wrap anchorx="margin"/>
          </v:shape>
        </w:pict>
      </w:r>
      <w:r>
        <w:pict>
          <v:shape id="_x0000_s1034" type="#_x0000_t202" style="position:absolute;margin-left:206.4pt;margin-top:170.55pt;width:97.9pt;height:19.85pt;z-index:251657733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14"/>
                    <w:widowControl w:val="0"/>
                    <w:keepNext/>
                    <w:keepLines/>
                    <w:shd w:val="clear" w:color="auto" w:fill="auto"/>
                    <w:bidi w:val="0"/>
                    <w:jc w:val="left"/>
                    <w:spacing w:before="0" w:after="0" w:line="320" w:lineRule="exact"/>
                    <w:ind w:left="0" w:right="0" w:firstLine="0"/>
                  </w:pPr>
                  <w:bookmarkStart w:id="0" w:name="bookmark0"/>
                  <w:r>
                    <w:rPr>
                      <w:lang w:val="ru-RU" w:eastAsia="ru-RU" w:bidi="ru-RU"/>
                      <w:w w:val="100"/>
                      <w:color w:val="000000"/>
                      <w:position w:val="0"/>
                    </w:rPr>
                    <w:t>ПРИКАЗ</w:t>
                  </w:r>
                  <w:bookmarkEnd w:id="0"/>
                </w:p>
              </w:txbxContent>
            </v:textbox>
            <w10:wrap anchorx="margin"/>
          </v:shape>
        </w:pict>
      </w:r>
      <w:r>
        <w:pict>
          <v:shape id="_x0000_s1035" type="#_x0000_t202" style="position:absolute;margin-left:390.25pt;margin-top:203.95pt;width:20.65pt;height:16.6pt;z-index:251657734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16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60" w:lineRule="exact"/>
                    <w:ind w:left="0" w:right="0" w:firstLine="0"/>
                  </w:pPr>
                  <w:r>
                    <w:rPr>
                      <w:lang w:val="ru-RU" w:eastAsia="ru-RU" w:bidi="ru-RU"/>
                      <w:w w:val="100"/>
                      <w:spacing w:val="0"/>
                      <w:color w:val="000000"/>
                      <w:position w:val="0"/>
                    </w:rPr>
                    <w:t>№</w:t>
                  </w:r>
                </w:p>
              </w:txbxContent>
            </v:textbox>
            <w10:wrap anchorx="margin"/>
          </v:shape>
        </w:pict>
      </w:r>
      <w:r>
        <w:pict>
          <v:shape id="_x0000_s1036" type="#_x0000_t202" style="position:absolute;margin-left:224.65pt;margin-top:219.2pt;width:53.3pt;height:17.35pt;z-index:251657735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18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80" w:lineRule="exact"/>
                    <w:ind w:left="0" w:right="0" w:firstLine="0"/>
                  </w:pPr>
                  <w:r>
                    <w:rPr>
                      <w:rStyle w:val="CharStyle20"/>
                    </w:rPr>
                    <w:t>Москва</w:t>
                  </w:r>
                </w:p>
              </w:txbxContent>
            </v:textbox>
            <w10:wrap anchorx="margin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07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Start w:val="1"/>
            <w:numRestart w:val="continuous"/>
          </w:footnotePr>
          <w:type w:val="continuous"/>
          <w:pgSz w:w="11900" w:h="16840"/>
          <w:pgMar w:top="0" w:left="795" w:right="515" w:bottom="1939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rPr>
          <w:sz w:val="2"/>
          <w:szCs w:val="2"/>
        </w:rPr>
      </w:pPr>
      <w:r>
        <w:pict>
          <v:shape id="_x0000_s1037" type="#_x0000_t202" style="position:static;width:595.pt;height:35.55pt" filled="f" stroked="f">
            <v:textbox inset="0,0,0,0">
              <w:txbxContent>
                <w:p>
                  <w:pPr>
                    <w:widowControl w:val="0"/>
                  </w:pPr>
                </w:p>
              </w:txbxContent>
            </v:textbox>
            <w10:anchorlock/>
          </v:shape>
        </w:pict>
      </w:r>
      <w:r>
        <w:t xml:space="preserve"> </w:t>
      </w:r>
    </w:p>
    <w:p>
      <w:pPr>
        <w:widowControl w:val="0"/>
        <w:rPr>
          <w:sz w:val="2"/>
          <w:szCs w:val="2"/>
        </w:rPr>
        <w:sectPr>
          <w:type w:val="continuous"/>
          <w:pgSz w:w="11900" w:h="16840"/>
          <w:pgMar w:top="911" w:left="0" w:right="0" w:bottom="708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233" w:line="326" w:lineRule="exact"/>
        <w:ind w:left="0" w:right="20" w:firstLine="0"/>
      </w:pPr>
      <w:bookmarkStart w:id="1" w:name="bookmark1"/>
      <w:r>
        <w:rPr>
          <w:rStyle w:val="CharStyle26"/>
          <w:b w:val="0"/>
          <w:bCs w:val="0"/>
        </w:rPr>
        <w:t>Об утверждении федеральных норм и правил в области промышленной</w:t>
        <w:br/>
        <w:t>безопасности «Правила проведения экспертизы промышленной безопасности»</w:t>
      </w:r>
      <w:bookmarkEnd w:id="1"/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 xml:space="preserve">В соответствии со статьёй 5 Федерального закона от 21 июля 1997 г. № 116-ФЗ «О промышленной безопасности опасных производственных объектов» (Собрание законодательства Российской Федерации, 1997, № 30, ст. 3588; 2018, №31, ст. 4860), подпунктом 5.2.2.16(1) пункта 5 Положения о Федеральной службе по экологическому, технологическому и атомному надзору, утверждённого постановлением Правительства Российской Федерации от 30 июля 2004 г. № 401 «О Федеральной службе по экологическому, технологическому и атомному надзору» (Собрание законодательства Российской Федерации, 2004, № 32, ст. 3348; 2020, № 27, ст. 4248), </w:t>
      </w:r>
      <w:r>
        <w:rPr>
          <w:rStyle w:val="CharStyle29"/>
        </w:rPr>
        <w:t>приказываю:</w:t>
      </w:r>
    </w:p>
    <w:p>
      <w:pPr>
        <w:pStyle w:val="Style18"/>
        <w:numPr>
          <w:ilvl w:val="0"/>
          <w:numId w:val="1"/>
        </w:numPr>
        <w:tabs>
          <w:tab w:leader="none" w:pos="105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Утвердить прилагаемые федеральные нормы и правила в области промышленной безопасности «Правила проведения экспертизы промышленной безопасности».</w:t>
      </w:r>
    </w:p>
    <w:p>
      <w:pPr>
        <w:pStyle w:val="Style18"/>
        <w:numPr>
          <w:ilvl w:val="0"/>
          <w:numId w:val="1"/>
        </w:numPr>
        <w:tabs>
          <w:tab w:leader="none" w:pos="105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pict>
          <v:shape id="_x0000_s1038" type="#_x0000_t202" style="position:absolute;margin-left:-2.45pt;margin-top:88.95pt;width:85.2pt;height:16.15pt;z-index:-125829376;mso-wrap-distance-left:5.pt;mso-wrap-distance-right:76.55pt;mso-wrap-distance-bottom:39.9pt;mso-position-horizontal-relative:margin" filled="f" stroked="f">
            <v:textbox style="mso-fit-shape-to-text:t" inset="0,0,0,0">
              <w:txbxContent>
                <w:p>
                  <w:pPr>
                    <w:pStyle w:val="Style2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60" w:lineRule="exact"/>
                    <w:ind w:left="0" w:right="0" w:firstLine="0"/>
                  </w:pPr>
                  <w:r>
                    <w:rPr>
                      <w:rStyle w:val="CharStyle23"/>
                      <w:b/>
                      <w:bCs/>
                    </w:rPr>
                    <w:t>Руководитель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39" type="#_x0000_t75" style="position:absolute;margin-left:159.3pt;margin-top:59.05pt;width:192.95pt;height:66.25pt;z-index:-125829375;mso-wrap-distance-left:5.pt;mso-wrap-distance-right:69.6pt;mso-wrap-distance-bottom:20.pt;mso-position-horizontal-relative:margin" wrapcoords="0 0 21600 0 21600 21600 0 21600 0 0">
            <v:imagedata r:id="rId11" r:href="rId12"/>
            <w10:wrap type="topAndBottom" anchorx="margin"/>
          </v:shape>
        </w:pict>
      </w:r>
      <w:r>
        <w:pict>
          <v:shape id="_x0000_s1040" type="#_x0000_t202" style="position:absolute;margin-left:421.85pt;margin-top:88.95pt;width:81.35pt;height:15.85pt;z-index:-125829374;mso-wrap-distance-left:5.pt;mso-wrap-distance-right:5.pt;mso-wrap-distance-bottom:40.2pt;mso-position-horizontal-relative:margin" filled="f" stroked="f">
            <v:textbox style="mso-fit-shape-to-text:t" inset="0,0,0,0">
              <w:txbxContent>
                <w:p>
                  <w:pPr>
                    <w:pStyle w:val="Style21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260" w:lineRule="exact"/>
                    <w:ind w:left="0" w:right="0" w:firstLine="0"/>
                  </w:pPr>
                  <w:r>
                    <w:rPr>
                      <w:rStyle w:val="CharStyle23"/>
                      <w:b/>
                      <w:bCs/>
                    </w:rPr>
                    <w:t>А.В. Алёшин</w:t>
                  </w:r>
                </w:p>
              </w:txbxContent>
            </v:textbox>
            <w10:wrap type="topAndBottom" anchorx="margin"/>
          </v:shape>
        </w:pict>
      </w:r>
      <w:r>
        <w:rPr>
          <w:rStyle w:val="CharStyle28"/>
        </w:rPr>
        <w:t>Настоящий приказ вступает в силу с 1 января 2021 г. и действует до 1 января 2027 г.</w:t>
      </w:r>
      <w:r>
        <w:br w:type="page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0" w:line="331" w:lineRule="exact"/>
        <w:ind w:left="0" w:right="160" w:firstLine="0"/>
      </w:pPr>
      <w:r>
        <w:rPr>
          <w:rStyle w:val="CharStyle28"/>
        </w:rPr>
        <w:t>Утверждены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682" w:line="331" w:lineRule="exact"/>
        <w:ind w:left="0" w:right="160" w:firstLine="0"/>
      </w:pPr>
      <w:r>
        <w:rPr>
          <w:rStyle w:val="CharStyle28"/>
        </w:rPr>
        <w:t>приказом Федеральной службы</w:t>
        <w:br/>
        <w:t>по экологическому, технологическому</w:t>
        <w:br/>
        <w:t>и атомному надзору</w:t>
        <w:br/>
        <w:t>от 20 октября 2020 г. № 420</w:t>
      </w: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336"/>
        <w:ind w:left="2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Федеральные нормы и правила в области промышленной безопасности</w:t>
        <w:br/>
        <w:t>«Правила проведения экспертизы промышленной безопасности»</w:t>
      </w:r>
      <w:bookmarkEnd w:id="2"/>
    </w:p>
    <w:p>
      <w:pPr>
        <w:pStyle w:val="Style24"/>
        <w:widowControl w:val="0"/>
        <w:keepNext/>
        <w:keepLines/>
        <w:shd w:val="clear" w:color="auto" w:fill="auto"/>
        <w:bidi w:val="0"/>
        <w:jc w:val="left"/>
        <w:spacing w:before="0" w:after="0" w:line="485" w:lineRule="exact"/>
        <w:ind w:left="414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I. Общие положения</w:t>
      </w:r>
      <w:bookmarkEnd w:id="3"/>
    </w:p>
    <w:p>
      <w:pPr>
        <w:pStyle w:val="Style18"/>
        <w:numPr>
          <w:ilvl w:val="0"/>
          <w:numId w:val="3"/>
        </w:numPr>
        <w:tabs>
          <w:tab w:leader="none" w:pos="104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Федеральные нормы и правила в области промышленной безопасности «Правила проведения экспертизы промышленной безопасности» (далее - Правила) устанавливают процедуру проведения экспертизы промышленной безопасности (далее - экспертиза), требования к оформлению заключения экспертизы и требования к экспертам в области промышленной безопасности (далее - эксперты).</w:t>
      </w:r>
    </w:p>
    <w:p>
      <w:pPr>
        <w:pStyle w:val="Style18"/>
        <w:numPr>
          <w:ilvl w:val="0"/>
          <w:numId w:val="3"/>
        </w:numPr>
        <w:tabs>
          <w:tab w:leader="none" w:pos="104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Правила применяются при проведении экспертизы объектов, предусмотренных пунктом 1 статьи 13 Федерального закона от 21 июля 1997 г. № 116-ФЗ «О промышленной безопасности опасных производственных объектов» (далее - объекты экспертизы).</w:t>
      </w:r>
    </w:p>
    <w:p>
      <w:pPr>
        <w:pStyle w:val="Style18"/>
        <w:numPr>
          <w:ilvl w:val="0"/>
          <w:numId w:val="3"/>
        </w:numPr>
        <w:tabs>
          <w:tab w:leader="none" w:pos="104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Правила не применяются при проведении страховщиком экспертизы опасного объекта, предусмотренной подпунктом 1 пункта 1 статьи 12 Федерального закона от 27 июля 2010 г.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 (Собрание законодательства Российской Федерации, 2010, № 31, ст. 4194; 2018, № 52, ст. 8102).</w:t>
      </w:r>
    </w:p>
    <w:p>
      <w:pPr>
        <w:pStyle w:val="Style18"/>
        <w:numPr>
          <w:ilvl w:val="0"/>
          <w:numId w:val="3"/>
        </w:numPr>
        <w:tabs>
          <w:tab w:leader="none" w:pos="103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Техническое устройство, применяемое на опасном производственном объекте, подлежит экспертизе (если техническим регламентом не установлена иная форма оценки соответствия указанного устройства обязательным требованиям):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до начала применения на опасном производственном объекте;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по истечении срока службы или при превышении количества циклов нагрузки такого технического устройства, установленных его производителем;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  <w:sectPr>
          <w:type w:val="continuous"/>
          <w:pgSz w:w="11900" w:h="16840"/>
          <w:pgMar w:top="911" w:left="1061" w:right="659" w:bottom="708" w:header="0" w:footer="3" w:gutter="0"/>
          <w:rtlGutter w:val="0"/>
          <w:cols w:space="720"/>
          <w:noEndnote/>
          <w:docGrid w:linePitch="360"/>
        </w:sectPr>
      </w:pPr>
      <w:r>
        <w:rPr>
          <w:rStyle w:val="CharStyle28"/>
        </w:rPr>
        <w:t>при отсутствии в технической документации данных о сроке службы такого технического устройства, если фактический срок его службы превышает двадцать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8"/>
        </w:rPr>
        <w:t>лет;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после проведения работ, связанных с изменением конструкции, заменой материала несущих элементов такого технического устройства, либо восстановительного ремонта после аварии или инцидента на опасном производственном объекте, в результате которых было повреждено такое техническое устройство.</w:t>
      </w:r>
      <w:r>
        <w:rPr>
          <w:rStyle w:val="CharStyle28"/>
          <w:vertAlign w:val="superscript"/>
        </w:rPr>
        <w:footnoteReference w:id="2"/>
      </w:r>
    </w:p>
    <w:p>
      <w:pPr>
        <w:pStyle w:val="Style18"/>
        <w:numPr>
          <w:ilvl w:val="0"/>
          <w:numId w:val="3"/>
        </w:numPr>
        <w:tabs>
          <w:tab w:leader="none" w:pos="103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Здания и сооружения на опасном производственном объекте, предназначенные для осуществления технологических процессов, хранения сырья или продукции, перемещения людей и грузов, локализации и ликвидации последствий аварий, подлежат экспертизе: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в случае истечения срока эксплуатации здания или сооружения, установленного проектной документацией;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в случае отсутствия проектной документации, либо отсутствия в проектной документации данных о сроке эксплуатации здания или сооружения;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после аварии на опасном производственном объекте, в результате которой были повреждены несущие конструкции данных зданий и сооружений;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по истечении сроков безопасной эксплуатации, установленных заключениями экспертизы.</w:t>
      </w:r>
    </w:p>
    <w:p>
      <w:pPr>
        <w:pStyle w:val="Style18"/>
        <w:numPr>
          <w:ilvl w:val="0"/>
          <w:numId w:val="3"/>
        </w:numPr>
        <w:tabs>
          <w:tab w:leader="none" w:pos="103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Экспертиза технических устройств, зданий и сооружений на опасных производственных объектах, используемых в интересах обороны и безопасности государства, производится с учетом требований законодательства Российской Федерации об обороне и о защите государственной тайны.</w:t>
      </w:r>
    </w:p>
    <w:p>
      <w:pPr>
        <w:pStyle w:val="Style24"/>
        <w:numPr>
          <w:ilvl w:val="0"/>
          <w:numId w:val="5"/>
        </w:numPr>
        <w:tabs>
          <w:tab w:leader="none" w:pos="4134" w:val="left"/>
        </w:tabs>
        <w:widowControl w:val="0"/>
        <w:keepNext/>
        <w:keepLines/>
        <w:shd w:val="clear" w:color="auto" w:fill="auto"/>
        <w:bidi w:val="0"/>
        <w:jc w:val="both"/>
        <w:spacing w:before="0" w:after="0" w:line="485" w:lineRule="exact"/>
        <w:ind w:left="3720" w:right="0" w:firstLine="0"/>
      </w:pPr>
      <w:bookmarkStart w:id="4" w:name="bookmark4"/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экспертам</w:t>
      </w:r>
      <w:bookmarkEnd w:id="4"/>
    </w:p>
    <w:p>
      <w:pPr>
        <w:pStyle w:val="Style18"/>
        <w:numPr>
          <w:ilvl w:val="0"/>
          <w:numId w:val="3"/>
        </w:numPr>
        <w:tabs>
          <w:tab w:leader="none" w:pos="87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600"/>
      </w:pPr>
      <w:r>
        <w:rPr>
          <w:rStyle w:val="CharStyle28"/>
        </w:rPr>
        <w:t>Экспертом в области промышленной безопасности (далее - эксперт) является физическое лицо, аттестованное в установленном Правительством Российской Федерации порядке</w:t>
      </w:r>
      <w:r>
        <w:rPr>
          <w:rStyle w:val="CharStyle28"/>
          <w:vertAlign w:val="superscript"/>
        </w:rPr>
        <w:footnoteReference w:id="3"/>
      </w:r>
      <w:r>
        <w:rPr>
          <w:rStyle w:val="CharStyle28"/>
        </w:rPr>
        <w:t>, которое обладает специальными познаниями в области промышленной безопасности, соответствует требованиям, установленным федеральными нормами и правилами в области промышленной безопасности, и участвует в проведении экспертизы.</w:t>
      </w:r>
      <w:r>
        <w:rPr>
          <w:rStyle w:val="CharStyle28"/>
          <w:vertAlign w:val="superscript"/>
        </w:rPr>
        <w:footnoteReference w:id="4"/>
      </w:r>
    </w:p>
    <w:p>
      <w:pPr>
        <w:pStyle w:val="Style18"/>
        <w:numPr>
          <w:ilvl w:val="0"/>
          <w:numId w:val="3"/>
        </w:numPr>
        <w:tabs>
          <w:tab w:leader="none" w:pos="108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 xml:space="preserve">Эксперт первой категории </w:t>
      </w:r>
      <w:r>
        <w:rPr>
          <w:rStyle w:val="CharStyle28"/>
          <w:vertAlign w:val="superscript"/>
        </w:rPr>
        <w:footnoteReference w:id="5"/>
      </w:r>
      <w:r>
        <w:rPr>
          <w:rStyle w:val="CharStyle28"/>
        </w:rPr>
        <w:t xml:space="preserve"> должен соответствовать следующим требованиям:</w:t>
      </w:r>
    </w:p>
    <w:p>
      <w:pPr>
        <w:pStyle w:val="Style18"/>
        <w:numPr>
          <w:ilvl w:val="0"/>
          <w:numId w:val="7"/>
        </w:numPr>
        <w:tabs>
          <w:tab w:leader="none" w:pos="113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иметь высшее образование;</w:t>
      </w:r>
    </w:p>
    <w:p>
      <w:pPr>
        <w:pStyle w:val="Style18"/>
        <w:numPr>
          <w:ilvl w:val="0"/>
          <w:numId w:val="7"/>
        </w:numPr>
        <w:tabs>
          <w:tab w:leader="none" w:pos="110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иметь стаж работы не менее 10 лет по специальности, соответствующей его области (областям) аттестации;</w:t>
      </w:r>
    </w:p>
    <w:p>
      <w:pPr>
        <w:pStyle w:val="Style18"/>
        <w:numPr>
          <w:ilvl w:val="0"/>
          <w:numId w:val="7"/>
        </w:numPr>
        <w:tabs>
          <w:tab w:leader="none" w:pos="111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знать нормативные правовые акты Российской Федерации в области промышленной безопасности, средства измерений и оборудование, а также методы технического диагностирования, неразрушающего и разрушающего контроля технических устройств, обследования зданий и сооружений, оценки риска аварии на опасном производственном объекте и связанных с ней угроз негативных последствий, необходимых для осуществления экспертизы;</w:t>
      </w:r>
    </w:p>
    <w:p>
      <w:pPr>
        <w:pStyle w:val="Style18"/>
        <w:numPr>
          <w:ilvl w:val="0"/>
          <w:numId w:val="7"/>
        </w:numPr>
        <w:tabs>
          <w:tab w:leader="none" w:pos="116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иметь опыт проведения не менее 15 экспертиз.</w:t>
      </w:r>
    </w:p>
    <w:p>
      <w:pPr>
        <w:pStyle w:val="Style18"/>
        <w:numPr>
          <w:ilvl w:val="0"/>
          <w:numId w:val="3"/>
        </w:numPr>
        <w:tabs>
          <w:tab w:leader="none" w:pos="107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 xml:space="preserve">Эксперт второй категории </w:t>
      </w:r>
      <w:r>
        <w:rPr>
          <w:rStyle w:val="CharStyle28"/>
          <w:vertAlign w:val="superscript"/>
        </w:rPr>
        <w:footnoteReference w:id="6"/>
      </w:r>
      <w:r>
        <w:rPr>
          <w:rStyle w:val="CharStyle28"/>
        </w:rPr>
        <w:t xml:space="preserve"> должен соответствовать следующим требованиям:</w:t>
      </w:r>
    </w:p>
    <w:p>
      <w:pPr>
        <w:pStyle w:val="Style18"/>
        <w:numPr>
          <w:ilvl w:val="0"/>
          <w:numId w:val="9"/>
        </w:numPr>
        <w:tabs>
          <w:tab w:leader="none" w:pos="113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иметь высшее образование;</w:t>
      </w:r>
    </w:p>
    <w:p>
      <w:pPr>
        <w:pStyle w:val="Style18"/>
        <w:numPr>
          <w:ilvl w:val="0"/>
          <w:numId w:val="9"/>
        </w:numPr>
        <w:tabs>
          <w:tab w:leader="none" w:pos="110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иметь стаж работы не менее 7 лет по специальности, соответствующей его области (областям) аттестации;</w:t>
      </w:r>
    </w:p>
    <w:p>
      <w:pPr>
        <w:pStyle w:val="Style18"/>
        <w:numPr>
          <w:ilvl w:val="0"/>
          <w:numId w:val="9"/>
        </w:numPr>
        <w:tabs>
          <w:tab w:leader="none" w:pos="111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знать нормативные правовые акты Российской Федерации в области промышленной безопасности, средства измерений и оборудование, а также методы технического диагностирования, неразрушающего и разрушающего контроля технических устройств, обследования зданий и сооружений, оценки риска аварии на опасном производственном объекте и связанных с ней угроз негативных последствий, необходимых для осуществления экспертизы;</w:t>
      </w:r>
    </w:p>
    <w:p>
      <w:pPr>
        <w:pStyle w:val="Style18"/>
        <w:numPr>
          <w:ilvl w:val="0"/>
          <w:numId w:val="9"/>
        </w:numPr>
        <w:tabs>
          <w:tab w:leader="none" w:pos="116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иметь опыт проведения не менее 10 экспертиз.</w:t>
      </w:r>
    </w:p>
    <w:p>
      <w:pPr>
        <w:pStyle w:val="Style18"/>
        <w:numPr>
          <w:ilvl w:val="0"/>
          <w:numId w:val="3"/>
        </w:numPr>
        <w:tabs>
          <w:tab w:leader="none" w:pos="1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 xml:space="preserve">Эксперт третьей категории </w:t>
      </w:r>
      <w:r>
        <w:rPr>
          <w:rStyle w:val="CharStyle28"/>
          <w:vertAlign w:val="superscript"/>
        </w:rPr>
        <w:footnoteReference w:id="7"/>
      </w:r>
      <w:r>
        <w:rPr>
          <w:rStyle w:val="CharStyle28"/>
        </w:rPr>
        <w:t xml:space="preserve"> должен соответствовать следующим требованиям:</w:t>
      </w:r>
    </w:p>
    <w:p>
      <w:pPr>
        <w:pStyle w:val="Style18"/>
        <w:numPr>
          <w:ilvl w:val="0"/>
          <w:numId w:val="11"/>
        </w:numPr>
        <w:tabs>
          <w:tab w:leader="none" w:pos="110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иметь высшее образование;</w:t>
      </w:r>
    </w:p>
    <w:p>
      <w:pPr>
        <w:pStyle w:val="Style18"/>
        <w:numPr>
          <w:ilvl w:val="0"/>
          <w:numId w:val="11"/>
        </w:numPr>
        <w:tabs>
          <w:tab w:leader="none" w:pos="110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иметь стаж работы не менее 5 лет по специальности, соответствующей его области (областям) аттестации;</w:t>
      </w:r>
    </w:p>
    <w:p>
      <w:pPr>
        <w:pStyle w:val="Style18"/>
        <w:numPr>
          <w:ilvl w:val="0"/>
          <w:numId w:val="11"/>
        </w:numPr>
        <w:tabs>
          <w:tab w:leader="none" w:pos="110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знать нормативные правовые акты Российской Федерации в области промышленной безопасности, средства измерений и оборудование, а также методов технического диагностирования, неразрушающего и разрушающего контроля технических устройств, обследования зданий и сооружений, оценки риска аварии на опасном производственном объекте и связанных с ней угроз негативных последствий, необходимых для осуществления экспертизы.</w:t>
      </w:r>
    </w:p>
    <w:p>
      <w:pPr>
        <w:pStyle w:val="Style18"/>
        <w:numPr>
          <w:ilvl w:val="0"/>
          <w:numId w:val="3"/>
        </w:numPr>
        <w:tabs>
          <w:tab w:leader="none" w:pos="1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Эксперту запрещается участвовать в проведении экспертизы в отношении опасных производственных объектов, принадлежащих на праве собственности или ином законном основании организации, в трудовых отношениях с которой он состоит.</w:t>
      </w:r>
      <w:r>
        <w:rPr>
          <w:rStyle w:val="CharStyle28"/>
          <w:vertAlign w:val="superscript"/>
        </w:rPr>
        <w:footnoteReference w:id="8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Эксперт, которому известны обстоятельства, препятствующие его привлечению к проведению экспертизы либо не позволяющие ему соблюдать принципы ее проведения, установленные пунктом 13 настоящих Правил, не должен участвовать в проведении экспертизы.</w:t>
      </w:r>
    </w:p>
    <w:p>
      <w:pPr>
        <w:pStyle w:val="Style18"/>
        <w:numPr>
          <w:ilvl w:val="0"/>
          <w:numId w:val="3"/>
        </w:numPr>
        <w:tabs>
          <w:tab w:leader="none" w:pos="120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Эксперты обязаны: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определять соответствие объектов экспертизы промышленной безопасности требованиям промышленной безопасности путем проведения анализа материалов, предоставленных на экспертизу промышленной безопасности, и фактического состояния технических устройств, применяемых на опасных производственных объектах, зданий и сооружений на опасных производственных объектах, подготавливать заключение экспертизы промышленной безопасности и предоставлять его руководителю организации, проводящей экспертизу промышленной безопасности;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обеспечивать объективность и обоснованность выводов заключения экспертизы;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обеспечивать сохранность документов и конфиденциальность сведений, представленных на экспертизу.</w:t>
      </w:r>
      <w:r>
        <w:rPr>
          <w:rStyle w:val="CharStyle28"/>
          <w:vertAlign w:val="superscript"/>
        </w:rPr>
        <w:footnoteReference w:id="9"/>
      </w:r>
    </w:p>
    <w:p>
      <w:pPr>
        <w:pStyle w:val="Style24"/>
        <w:numPr>
          <w:ilvl w:val="0"/>
          <w:numId w:val="5"/>
        </w:numPr>
        <w:tabs>
          <w:tab w:leader="none" w:pos="4199" w:val="left"/>
        </w:tabs>
        <w:widowControl w:val="0"/>
        <w:keepNext/>
        <w:keepLines/>
        <w:shd w:val="clear" w:color="auto" w:fill="auto"/>
        <w:bidi w:val="0"/>
        <w:jc w:val="both"/>
        <w:spacing w:before="0" w:after="0" w:line="485" w:lineRule="exact"/>
        <w:ind w:left="3680" w:right="0" w:firstLine="0"/>
      </w:pPr>
      <w:bookmarkStart w:id="5" w:name="bookmark5"/>
      <w:r>
        <w:rPr>
          <w:lang w:val="ru-RU" w:eastAsia="ru-RU" w:bidi="ru-RU"/>
          <w:w w:val="100"/>
          <w:spacing w:val="0"/>
          <w:color w:val="000000"/>
          <w:position w:val="0"/>
        </w:rPr>
        <w:t>Проведение экспертизы</w:t>
      </w:r>
      <w:bookmarkEnd w:id="5"/>
    </w:p>
    <w:p>
      <w:pPr>
        <w:pStyle w:val="Style18"/>
        <w:numPr>
          <w:ilvl w:val="0"/>
          <w:numId w:val="3"/>
        </w:numPr>
        <w:tabs>
          <w:tab w:leader="none" w:pos="1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Экспертиза проводится с целью определения соответствия объекта экспертизы предъявляемым к нему требованиям промышленной безопасности и основывается на принципах независимости, объективности, всесторонности и полноты исследований, проводимых с использованием современных достижений науки и техники.</w:t>
      </w:r>
      <w:r>
        <w:rPr>
          <w:rStyle w:val="CharStyle28"/>
          <w:vertAlign w:val="superscript"/>
        </w:rPr>
        <w:footnoteReference w:id="10"/>
      </w:r>
    </w:p>
    <w:p>
      <w:pPr>
        <w:pStyle w:val="Style18"/>
        <w:numPr>
          <w:ilvl w:val="0"/>
          <w:numId w:val="3"/>
        </w:numPr>
        <w:tabs>
          <w:tab w:leader="none" w:pos="1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Срок проведения экспертизы определяется сложностью объекта экспертизы, но не должен превышать трех месяцев со дня получения экспертной организацией от заказчика экспертизы (далее - заказчик) комплекта необходимых материалов и документов. Срок проведения экспертизы может быть продлен по соглашению сторон.</w:t>
      </w:r>
    </w:p>
    <w:p>
      <w:pPr>
        <w:pStyle w:val="Style18"/>
        <w:numPr>
          <w:ilvl w:val="0"/>
          <w:numId w:val="3"/>
        </w:numPr>
        <w:tabs>
          <w:tab w:leader="none" w:pos="118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Экспертизу проводят организации, имеющие лицензию на деятельность по проведению экспертизы промышленной безопасности, за счет средств ее заказчика.</w:t>
      </w:r>
      <w:r>
        <w:rPr>
          <w:rStyle w:val="CharStyle28"/>
          <w:vertAlign w:val="superscript"/>
        </w:rPr>
        <w:footnoteReference w:id="11"/>
      </w:r>
    </w:p>
    <w:p>
      <w:pPr>
        <w:pStyle w:val="Style18"/>
        <w:numPr>
          <w:ilvl w:val="0"/>
          <w:numId w:val="3"/>
        </w:numPr>
        <w:tabs>
          <w:tab w:leader="none" w:pos="463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 xml:space="preserve"> Организации, имеющей</w:t>
        <w:tab/>
        <w:t>лицензию на проведение экспертизы промышленной безопасности, запрещается проводить данную экспертизу в отношении опасных производственных объектов, принадлежащих на праве собственности или ином законном основании ей или лицам, входящим с ней в одну группу лиц в соответствии с антимонопольным законодательством Российской Федерации, а также в отношении иных объектов экспертизы, связанных с такими опасными производственными объектами. Заключение экспертизы, составленное с нарушением данного требования, не может быть использовано для целей,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8"/>
        </w:rPr>
        <w:t>установленных законодательством Российской Федерации.</w:t>
      </w:r>
      <w:r>
        <w:rPr>
          <w:rStyle w:val="CharStyle28"/>
          <w:vertAlign w:val="superscript"/>
        </w:rPr>
        <w:footnoteReference w:id="12"/>
      </w:r>
    </w:p>
    <w:p>
      <w:pPr>
        <w:pStyle w:val="Style18"/>
        <w:numPr>
          <w:ilvl w:val="0"/>
          <w:numId w:val="3"/>
        </w:numPr>
        <w:tabs>
          <w:tab w:leader="none" w:pos="124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Руководителем организации, проводящей экспертизу, определяются участвующие в проведении экспертизы эксперт или группа экспертов, область аттестации которых соответствует объекту экспертизы.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В случае участия в экспертизе группы экспертов, может быть определен руководитель группы экспертов, обеспечивающий обобщение результатов, своевременность проведения экспертизы и подготовку заключения экспертизы. Область аттестации руководителя группы экспертов должна соответствовать объекту экспертизы.</w:t>
      </w:r>
    </w:p>
    <w:p>
      <w:pPr>
        <w:pStyle w:val="Style18"/>
        <w:numPr>
          <w:ilvl w:val="0"/>
          <w:numId w:val="3"/>
        </w:numPr>
        <w:tabs>
          <w:tab w:leader="none" w:pos="118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В проведении экспертизы в отношении опасных производственных объектов I класса опасности вправе участвовать эксперты первой категории, аттестованные в области аттестации, соответствующей объекту экспертизы, в порядке, установленном Положением.</w:t>
      </w:r>
    </w:p>
    <w:p>
      <w:pPr>
        <w:pStyle w:val="Style18"/>
        <w:numPr>
          <w:ilvl w:val="0"/>
          <w:numId w:val="3"/>
        </w:numPr>
        <w:tabs>
          <w:tab w:leader="none" w:pos="124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В проведении экспертизы в отношении опасных производственных объектов II класса опасности</w:t>
      </w:r>
      <w:r>
        <w:rPr>
          <w:rStyle w:val="CharStyle28"/>
          <w:vertAlign w:val="superscript"/>
        </w:rPr>
        <w:footnoteReference w:id="13"/>
      </w:r>
      <w:r>
        <w:rPr>
          <w:rStyle w:val="CharStyle28"/>
        </w:rPr>
        <w:t xml:space="preserve"> вправе участвовать эксперты первой и (или) второй категории, аттестованные в области аттестации, соответствующей объекту экспертизы, в порядке, установленном Положением.</w:t>
      </w:r>
    </w:p>
    <w:p>
      <w:pPr>
        <w:pStyle w:val="Style18"/>
        <w:numPr>
          <w:ilvl w:val="0"/>
          <w:numId w:val="3"/>
        </w:numPr>
        <w:tabs>
          <w:tab w:leader="none" w:pos="1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В проведении экспертизы в отношении опасных производственных объектов III и IV классов опасности</w:t>
      </w:r>
      <w:r>
        <w:rPr>
          <w:rStyle w:val="CharStyle28"/>
          <w:vertAlign w:val="superscript"/>
        </w:rPr>
        <w:footnoteReference w:id="14"/>
      </w:r>
      <w:r>
        <w:rPr>
          <w:rStyle w:val="CharStyle28"/>
        </w:rPr>
        <w:t xml:space="preserve"> вправе участвовать эксперты первой, и (или) второй, и (или) третьей категории, аттестованные в области аттестации, соответствующей объекту экспертизы, в порядке, установленном Положением.</w:t>
      </w:r>
    </w:p>
    <w:p>
      <w:pPr>
        <w:pStyle w:val="Style18"/>
        <w:numPr>
          <w:ilvl w:val="0"/>
          <w:numId w:val="3"/>
        </w:numPr>
        <w:tabs>
          <w:tab w:leader="none" w:pos="124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60" w:right="0" w:firstLine="0"/>
      </w:pPr>
      <w:r>
        <w:rPr>
          <w:rStyle w:val="CharStyle28"/>
        </w:rPr>
        <w:t>Экспертная организация приступает к проведению экспертизы после: предоставления заказчиком необходимых для проведения экспертизы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8"/>
        </w:rPr>
        <w:t>документов;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предоставления образцов технических устройств либо обеспечения доступа экспертов к техническим устройствам, зданиям и сооружениям, применяемым на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7" w:line="280" w:lineRule="exact"/>
        <w:ind w:left="0" w:right="0" w:firstLine="0"/>
      </w:pPr>
      <w:r>
        <w:rPr>
          <w:rStyle w:val="CharStyle28"/>
        </w:rPr>
        <w:t>опасном производственном объекте.</w:t>
      </w:r>
    </w:p>
    <w:p>
      <w:pPr>
        <w:pStyle w:val="Style18"/>
        <w:numPr>
          <w:ilvl w:val="0"/>
          <w:numId w:val="3"/>
        </w:numPr>
        <w:tabs>
          <w:tab w:leader="none" w:pos="120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Заказчик обязан предоставить безопасный доступ экспертам, участвующим в проведении экспертизы, к техническим устройствам, применяемым на опасном производственном объекте, к зданиям и сооружениям опасных производственных объектов, в отношении которых проводится экспертиза.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Эксперты, участвующие в проведении экспертизы, обязаны соблюдать положения нормативных правовых актов, устанавливающих требования промышленной безопасности, а также правила ведения работ на опасном производственном объекте, установленные заказчиком.</w:t>
      </w:r>
    </w:p>
    <w:p>
      <w:pPr>
        <w:pStyle w:val="Style18"/>
        <w:numPr>
          <w:ilvl w:val="0"/>
          <w:numId w:val="3"/>
        </w:numPr>
        <w:tabs>
          <w:tab w:leader="none" w:pos="119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При проведении экспертизы устанавливается полнота и достоверность относящихся к объекту экспертизы документов, предоставленных заказчиком, оценивается фактическое состояние технических устройств, зданий и сооружений на опасных производственных объектах.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Для оценки фактического состояния зданий и сооружений проводится их обследование.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Техническое диагностирование технических устройств проводится для оценки фактического состояния технических устройств в следующих случаях:</w:t>
      </w:r>
    </w:p>
    <w:p>
      <w:pPr>
        <w:pStyle w:val="Style18"/>
        <w:tabs>
          <w:tab w:leader="none" w:pos="109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а)</w:t>
        <w:tab/>
        <w:t>при проведении экспертизы по истечении срока службы или при превышении количества циклов нагрузки такого технического устройства, установленных его производителем, либо при отсутствии в технической документации данных о сроке службы такого технического устройства, если фактический срок его службы превышает двадцать лет;</w:t>
      </w:r>
    </w:p>
    <w:p>
      <w:pPr>
        <w:pStyle w:val="Style18"/>
        <w:tabs>
          <w:tab w:leader="none" w:pos="109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б)</w:t>
        <w:tab/>
        <w:t>при проведении экспертизы после проведения восстановительного ремонта после аварии или инцидента на опасном производственном объекте, в результате которых было повреждено такое техническое устройство;</w:t>
      </w:r>
    </w:p>
    <w:p>
      <w:pPr>
        <w:pStyle w:val="Style18"/>
        <w:tabs>
          <w:tab w:leader="none" w:pos="109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в)</w:t>
        <w:tab/>
        <w:t>при обнаружении экспертами дефектов, вызывающих сомнение в прочности конструкции, или дефектов неизвестного происхождения.</w:t>
      </w:r>
    </w:p>
    <w:p>
      <w:pPr>
        <w:pStyle w:val="Style18"/>
        <w:numPr>
          <w:ilvl w:val="0"/>
          <w:numId w:val="3"/>
        </w:numPr>
        <w:tabs>
          <w:tab w:leader="none" w:pos="122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При проведении экспертизы технических устройств выполняются:</w:t>
      </w:r>
    </w:p>
    <w:p>
      <w:pPr>
        <w:pStyle w:val="Style18"/>
        <w:tabs>
          <w:tab w:leader="none" w:pos="109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а)</w:t>
        <w:tab/>
        <w:t>анализ документации, относящейся к техническим устройствам (включая акты расследования аварий и инцидентов, связанных с эксплуатацией технических устройств, заключения экспертизы ранее проводимых экспертиз) и режимам эксплуатации технических устройств (при наличии);</w:t>
      </w:r>
    </w:p>
    <w:p>
      <w:pPr>
        <w:pStyle w:val="Style18"/>
        <w:tabs>
          <w:tab w:leader="none" w:pos="112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б)</w:t>
        <w:tab/>
        <w:t>расчетные и аналитические процедуры оценки и прогнозирования технического состояния технических устройств (в случаях, при которых проводится техническое диагностирование технических устройств).</w:t>
      </w:r>
    </w:p>
    <w:p>
      <w:pPr>
        <w:pStyle w:val="Style18"/>
        <w:numPr>
          <w:ilvl w:val="0"/>
          <w:numId w:val="3"/>
        </w:numPr>
        <w:tabs>
          <w:tab w:leader="none" w:pos="122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Техническое диагностирование технических устройств включает следующие мероприятия:</w:t>
      </w:r>
    </w:p>
    <w:p>
      <w:pPr>
        <w:pStyle w:val="Style18"/>
        <w:tabs>
          <w:tab w:leader="none" w:pos="113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а)</w:t>
        <w:tab/>
        <w:t>визуальный и измерительный контроль;</w:t>
      </w:r>
    </w:p>
    <w:p>
      <w:pPr>
        <w:pStyle w:val="Style18"/>
        <w:tabs>
          <w:tab w:leader="none" w:pos="112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б)</w:t>
        <w:tab/>
        <w:t>оперативное (функциональное) диагностирование для получения информации о состоянии, фактических параметрах работы, фактического нагружения технического устройства в реальных условиях эксплуатации;</w:t>
      </w:r>
    </w:p>
    <w:p>
      <w:pPr>
        <w:pStyle w:val="Style18"/>
        <w:tabs>
          <w:tab w:leader="none" w:pos="112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в)</w:t>
        <w:tab/>
        <w:t>определение действующих повреждающих факторов, механизмов повреждения и восприимчивости материала технического устройства к механизмам повреждения;</w:t>
      </w:r>
    </w:p>
    <w:p>
      <w:pPr>
        <w:pStyle w:val="Style18"/>
        <w:tabs>
          <w:tab w:leader="none" w:pos="112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г)</w:t>
        <w:tab/>
        <w:t>оценку качества соединений элементов технического устройства (при наличии);</w:t>
      </w:r>
    </w:p>
    <w:p>
      <w:pPr>
        <w:pStyle w:val="Style18"/>
        <w:tabs>
          <w:tab w:leader="none" w:pos="112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д)</w:t>
        <w:tab/>
        <w:t>выбор методов неразрушающего или разрушающего контроля, наиболее эффективно выявляющих дефекты, образующиеся в результате воздействия установленных механизмов повреждения (при наличии);</w:t>
      </w:r>
    </w:p>
    <w:p>
      <w:pPr>
        <w:pStyle w:val="Style18"/>
        <w:tabs>
          <w:tab w:leader="none" w:pos="112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е)</w:t>
        <w:tab/>
        <w:t>неразрушающий контроль или разрушающий контроль металла и сварных соединений технического устройства (при наличии);</w:t>
      </w:r>
    </w:p>
    <w:p>
      <w:pPr>
        <w:pStyle w:val="Style18"/>
        <w:tabs>
          <w:tab w:leader="none" w:pos="118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ж)</w:t>
        <w:tab/>
        <w:t>оценку выявленных дефектов на основании результатов визуального и измерительного контроля, методов неразрушающего или разрушающего контроля;</w:t>
      </w:r>
    </w:p>
    <w:p>
      <w:pPr>
        <w:pStyle w:val="Style18"/>
        <w:tabs>
          <w:tab w:leader="none" w:pos="120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з)</w:t>
        <w:tab/>
        <w:t>исследование материалов технического устройства;</w:t>
      </w:r>
    </w:p>
    <w:p>
      <w:pPr>
        <w:pStyle w:val="Style18"/>
        <w:tabs>
          <w:tab w:leader="none" w:pos="118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и)</w:t>
        <w:tab/>
        <w:t>расчетные и аналитические процедуры оценки и прогнозирования технического состояния технического устройства, включающие анализ режимов работы и исследование напряженно-деформированного состояния;</w:t>
      </w:r>
    </w:p>
    <w:p>
      <w:pPr>
        <w:pStyle w:val="Style18"/>
        <w:tabs>
          <w:tab w:leader="none" w:pos="120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к)</w:t>
        <w:tab/>
        <w:t>оценку остаточного ресурса (срока службы).</w:t>
      </w:r>
    </w:p>
    <w:p>
      <w:pPr>
        <w:pStyle w:val="Style18"/>
        <w:numPr>
          <w:ilvl w:val="0"/>
          <w:numId w:val="3"/>
        </w:numPr>
        <w:tabs>
          <w:tab w:leader="none" w:pos="126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При проведении экспертизы зданий и сооружений анализируются:</w:t>
      </w:r>
    </w:p>
    <w:p>
      <w:pPr>
        <w:pStyle w:val="Style18"/>
        <w:tabs>
          <w:tab w:leader="none" w:pos="110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а)</w:t>
        <w:tab/>
        <w:t>проектная и исполнительная документация на строительство, реконструкцию здания (сооружения), разрешение на ввод в эксплуатацию здания (сооружения);</w:t>
      </w:r>
    </w:p>
    <w:p>
      <w:pPr>
        <w:pStyle w:val="Style18"/>
        <w:tabs>
          <w:tab w:leader="none" w:pos="112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б)</w:t>
        <w:tab/>
        <w:t>документы, удостоверяющие качество строительных конструкций и материалов;</w:t>
      </w:r>
    </w:p>
    <w:p>
      <w:pPr>
        <w:pStyle w:val="Style18"/>
        <w:tabs>
          <w:tab w:leader="none" w:pos="115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в)</w:t>
        <w:tab/>
        <w:t>акты расследования аварий;</w:t>
      </w:r>
    </w:p>
    <w:p>
      <w:pPr>
        <w:pStyle w:val="Style18"/>
        <w:tabs>
          <w:tab w:leader="none" w:pos="115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г)</w:t>
        <w:tab/>
        <w:t>заключения экспертизы ранее проводимых экспертиз здания (сооружения);</w:t>
      </w:r>
    </w:p>
    <w:p>
      <w:pPr>
        <w:pStyle w:val="Style18"/>
        <w:tabs>
          <w:tab w:leader="none" w:pos="113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д)</w:t>
        <w:tab/>
        <w:t>эксплуатационная документация, документация о текущих и капитальных ремонтах, документация об изменениях конструкций зданий (сооружений).</w:t>
      </w:r>
    </w:p>
    <w:p>
      <w:pPr>
        <w:pStyle w:val="Style18"/>
        <w:numPr>
          <w:ilvl w:val="0"/>
          <w:numId w:val="3"/>
        </w:numPr>
        <w:tabs>
          <w:tab w:leader="none" w:pos="126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Обследование зданий и сооружений включает следующие мероприятия:</w:t>
      </w:r>
    </w:p>
    <w:p>
      <w:pPr>
        <w:pStyle w:val="Style18"/>
        <w:tabs>
          <w:tab w:leader="none" w:pos="110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а)</w:t>
        <w:tab/>
        <w:t>определение соответствия строительных конструкций зданий и сооружений проектной документации и требованиям нормативных документов, выявление дефектов и повреждений элементов и узлов конструкций зданий и сооружений с составлением ведомостей дефектов и повреждений;</w:t>
      </w:r>
    </w:p>
    <w:p>
      <w:pPr>
        <w:pStyle w:val="Style18"/>
        <w:tabs>
          <w:tab w:leader="none" w:pos="113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б)</w:t>
        <w:tab/>
        <w:t>определение пространственного положения строительных конструкций зданий и сооружений, их фактических сечений и состояния соединений;</w:t>
      </w:r>
    </w:p>
    <w:p>
      <w:pPr>
        <w:pStyle w:val="Style18"/>
        <w:tabs>
          <w:tab w:leader="none" w:pos="112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в)</w:t>
        <w:tab/>
        <w:t>определение степени влияния гидрологических, аэрологических и атмосферных воздействий (при наличии);</w:t>
      </w:r>
    </w:p>
    <w:p>
      <w:pPr>
        <w:pStyle w:val="Style18"/>
        <w:tabs>
          <w:tab w:leader="none" w:pos="111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г)</w:t>
        <w:tab/>
        <w:t>определение фактической прочности материалов и строительных конструкций зданий и сооружений в сравнении с проектными параметрами;</w:t>
      </w:r>
    </w:p>
    <w:p>
      <w:pPr>
        <w:pStyle w:val="Style18"/>
        <w:tabs>
          <w:tab w:leader="none" w:pos="112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д)</w:t>
        <w:tab/>
        <w:t>оценку соответствия площади и весовых характеристик легкосбрасываемых конструкций зданий и сооружений требуемой величине, обеспечивающей взрывоустойчивость объекта (при наличии);</w:t>
      </w:r>
    </w:p>
    <w:p>
      <w:pPr>
        <w:pStyle w:val="Style18"/>
        <w:tabs>
          <w:tab w:leader="none" w:pos="113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е)</w:t>
        <w:tab/>
        <w:t>изучение химической агрессивности производственной среды в отношении материалов строительных конструкций зданий и сооружений;</w:t>
      </w:r>
    </w:p>
    <w:p>
      <w:pPr>
        <w:pStyle w:val="Style18"/>
        <w:tabs>
          <w:tab w:leader="none" w:pos="117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ж)</w:t>
        <w:tab/>
        <w:t>определение степени коррозии арматуры и металлических элементов строительных конструкций (при наличии);</w:t>
      </w:r>
    </w:p>
    <w:p>
      <w:pPr>
        <w:pStyle w:val="Style18"/>
        <w:tabs>
          <w:tab w:leader="none" w:pos="117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з)</w:t>
        <w:tab/>
        <w:t>поверочный расчет строительных конструкций зданий и сооружений с учетом выявленных при обследовании отклонений, дефектов и повреждений, фактических (или прогнозируемых) нагрузок и свойств материалов этих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8"/>
        </w:rPr>
        <w:t>конструкций;</w:t>
      </w:r>
    </w:p>
    <w:p>
      <w:pPr>
        <w:pStyle w:val="Style18"/>
        <w:tabs>
          <w:tab w:leader="none" w:pos="111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и)</w:t>
        <w:tab/>
        <w:t>оценку остаточной несущей способности и пригодности зданий и сооружений к дальнейшей эксплуатации.</w:t>
      </w:r>
    </w:p>
    <w:p>
      <w:pPr>
        <w:pStyle w:val="Style18"/>
        <w:numPr>
          <w:ilvl w:val="0"/>
          <w:numId w:val="3"/>
        </w:numPr>
        <w:tabs>
          <w:tab w:leader="none" w:pos="1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При экспертизе документации на консервацию, ликвидацию опасного производственного объекта выполняется анализ мероприятий, направленных на обеспечение промышленной безопасности при остановке объекта, а также исключение аварий и инцидентов при осуществлении работ по консервации, ликвидации опасного производственного объекта.</w:t>
      </w:r>
    </w:p>
    <w:p>
      <w:pPr>
        <w:pStyle w:val="Style18"/>
        <w:numPr>
          <w:ilvl w:val="0"/>
          <w:numId w:val="3"/>
        </w:numPr>
        <w:tabs>
          <w:tab w:leader="none" w:pos="118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При экспертизе документации на техническое перевооружение опасного производственного объекта в случае, если указанная документация не входит в состав проектной документации такого объекта, подлежащей экспертизе в соответствии с законодательством о градостроительной деятельности, выполняется анализ принятых технических решений и мероприятий на предмет их соответствия действующим требованиям промышленной безопасности.</w:t>
      </w:r>
    </w:p>
    <w:p>
      <w:pPr>
        <w:pStyle w:val="Style18"/>
        <w:numPr>
          <w:ilvl w:val="0"/>
          <w:numId w:val="3"/>
        </w:numPr>
        <w:tabs>
          <w:tab w:leader="none" w:pos="119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Экспертная организация вправе привлекать к проведению технического диагностирования, неразрушающего контроля, разрушающего контроля технических устройств, а также к проведению обследований зданий и сооружений иные организации или лиц, владеющих необходимым оборудованием для проведения указанных работ.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В случаях, когда заказчик имеет в своем штате специалистов по техническому диагностированию, обследованию зданий и сооружений, неразрушающему контролю, разрушающему контролю, допускается привлекать данных специалистов заказчика к выполнению этих работ и учитывать результаты работ, выполненных указанными специалистами при оформлении заключения экспертизы. При этом в заключении экспертизы должны указываться виды работ, выполняемые специалистами заказчика.</w:t>
      </w:r>
    </w:p>
    <w:p>
      <w:pPr>
        <w:pStyle w:val="Style18"/>
        <w:numPr>
          <w:ilvl w:val="0"/>
          <w:numId w:val="3"/>
        </w:numPr>
        <w:tabs>
          <w:tab w:leader="none" w:pos="119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  <w:sectPr>
          <w:headerReference w:type="default" r:id="rId13"/>
          <w:pgSz w:w="11900" w:h="16840"/>
          <w:pgMar w:top="911" w:left="1061" w:right="659" w:bottom="708" w:header="0" w:footer="3" w:gutter="0"/>
          <w:rtlGutter w:val="0"/>
          <w:cols w:space="720"/>
          <w:pgNumType w:start="2"/>
          <w:noEndnote/>
          <w:docGrid w:linePitch="360"/>
        </w:sectPr>
      </w:pPr>
      <w:r>
        <w:rPr>
          <w:rStyle w:val="CharStyle28"/>
        </w:rPr>
        <w:t>Акты по результатам проведения технического диагностирования, неразрушающего контроля, разрушающего контроля технических устройств, обследования зданий и сооружений составляются и подписываются лицами, проводившими работы, и руководителем проводившей их организации или</w:t>
      </w: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headerReference w:type="default" r:id="rId14"/>
          <w:headerReference w:type="first" r:id="rId15"/>
          <w:footerReference w:type="first" r:id="rId16"/>
          <w:titlePg/>
          <w:pgSz w:w="11900" w:h="16840"/>
          <w:pgMar w:top="1226" w:left="0" w:right="0" w:bottom="1108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28"/>
        </w:rPr>
        <w:t>руководителем организации, проводящей экспертизу, и прикладываются к заключению экспертизы.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820" w:right="0" w:firstLine="0"/>
      </w:pPr>
      <w:r>
        <w:rPr>
          <w:rStyle w:val="CharStyle35"/>
          <w:b/>
          <w:bCs/>
        </w:rPr>
        <w:t>IV. Оформление заключения экспертизы</w:t>
      </w:r>
    </w:p>
    <w:p>
      <w:pPr>
        <w:pStyle w:val="Style18"/>
        <w:numPr>
          <w:ilvl w:val="0"/>
          <w:numId w:val="3"/>
        </w:numPr>
        <w:tabs>
          <w:tab w:leader="none" w:pos="121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Результатом проведения экспертизы является заключение в письменной форме, которое подписывается руководителем организации, проводившей экспертизу, и экспертом (экспертами), участвовавшим (участвовавшими) в проведении экспертизы, либо в форме электронного документа, подписанного квалифицированными электронными подписями руководителя организации, проводившей экспертизу, и эксперта (экспертов), участвовавшего (участвовавших) в проведении экспертизы.</w:t>
      </w:r>
      <w:r>
        <w:rPr>
          <w:rStyle w:val="CharStyle28"/>
          <w:vertAlign w:val="superscript"/>
        </w:rPr>
        <w:t>14</w:t>
      </w:r>
    </w:p>
    <w:p>
      <w:pPr>
        <w:pStyle w:val="Style18"/>
        <w:numPr>
          <w:ilvl w:val="0"/>
          <w:numId w:val="3"/>
        </w:numPr>
        <w:tabs>
          <w:tab w:leader="none" w:pos="122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Экспертная организация должна осуществлять учет выданных заключений экспертизы и хранить их копии.</w:t>
      </w:r>
    </w:p>
    <w:p>
      <w:pPr>
        <w:pStyle w:val="Style18"/>
        <w:numPr>
          <w:ilvl w:val="0"/>
          <w:numId w:val="3"/>
        </w:numPr>
        <w:tabs>
          <w:tab w:leader="none" w:pos="124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Заключение экспертизы должно содержать:</w:t>
      </w:r>
    </w:p>
    <w:p>
      <w:pPr>
        <w:pStyle w:val="Style18"/>
        <w:numPr>
          <w:ilvl w:val="0"/>
          <w:numId w:val="13"/>
        </w:numPr>
        <w:tabs>
          <w:tab w:leader="none" w:pos="111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титульный лист с указанием наименования заключения экспертизы;</w:t>
      </w:r>
    </w:p>
    <w:p>
      <w:pPr>
        <w:pStyle w:val="Style18"/>
        <w:numPr>
          <w:ilvl w:val="0"/>
          <w:numId w:val="13"/>
        </w:numPr>
        <w:tabs>
          <w:tab w:leader="none" w:pos="113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вводную часть, включающую: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указание на конкретные структурные единицы нормативных правовых актов в области промышленной безопасности (пункт, подпункт, часть, статья) на соответствие которым проводится оценка соответствия объекта экспертизы;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сведения об экспертной организации (наименование организации, её организационно-правовая форма, дата выдачи лицензии на деятельность по проведению экспертизы промышленной безопасности, её номер);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сведения об экспертах, принимавших участие в проведении экспертизы (фамилия, имя, отчество (при наличии), регистрационный номер квалификационного удостоверения эксперта);</w:t>
      </w:r>
    </w:p>
    <w:p>
      <w:pPr>
        <w:pStyle w:val="Style18"/>
        <w:numPr>
          <w:ilvl w:val="0"/>
          <w:numId w:val="13"/>
        </w:numPr>
        <w:tabs>
          <w:tab w:leader="none" w:pos="111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наименование объекта экспертизы, на который распространяется действие заключения экспертизы;</w:t>
      </w:r>
    </w:p>
    <w:p>
      <w:pPr>
        <w:pStyle w:val="Style18"/>
        <w:numPr>
          <w:ilvl w:val="0"/>
          <w:numId w:val="13"/>
        </w:numPr>
        <w:tabs>
          <w:tab w:leader="none" w:pos="1110" w:val="left"/>
        </w:tabs>
        <w:widowControl w:val="0"/>
        <w:keepNext w:val="0"/>
        <w:keepLines w:val="0"/>
        <w:shd w:val="clear" w:color="auto" w:fill="auto"/>
        <w:bidi w:val="0"/>
        <w:spacing w:before="0" w:after="0" w:line="466" w:lineRule="exact"/>
        <w:ind w:left="0" w:right="0"/>
      </w:pPr>
      <w:r>
        <w:rPr>
          <w:rStyle w:val="CharStyle28"/>
        </w:rPr>
        <w:t>данные о заказчике (наименование организации, её организационно</w:t>
        <w:softHyphen/>
        <w:t>правовая форма);</w:t>
      </w:r>
    </w:p>
    <w:p>
      <w:pPr>
        <w:pStyle w:val="Style18"/>
        <w:numPr>
          <w:ilvl w:val="0"/>
          <w:numId w:val="13"/>
        </w:numPr>
        <w:tabs>
          <w:tab w:leader="none" w:pos="110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цель экспертизы;</w:t>
      </w:r>
    </w:p>
    <w:p>
      <w:pPr>
        <w:pStyle w:val="Style18"/>
        <w:numPr>
          <w:ilvl w:val="0"/>
          <w:numId w:val="13"/>
        </w:numPr>
        <w:tabs>
          <w:tab w:leader="none" w:pos="108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сведения о рассмотренных в процессе экспертизы документах с указанием объема материалов, имеющих шифр, номер, марку или другую индикацию, необходимую для идентификации;</w:t>
      </w:r>
    </w:p>
    <w:p>
      <w:pPr>
        <w:pStyle w:val="Style18"/>
        <w:numPr>
          <w:ilvl w:val="0"/>
          <w:numId w:val="13"/>
        </w:numPr>
        <w:tabs>
          <w:tab w:leader="none" w:pos="110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краткую характеристику и назначение объекта экспертизы;</w:t>
      </w:r>
    </w:p>
    <w:p>
      <w:pPr>
        <w:pStyle w:val="Style18"/>
        <w:numPr>
          <w:ilvl w:val="0"/>
          <w:numId w:val="13"/>
        </w:numPr>
        <w:tabs>
          <w:tab w:leader="none" w:pos="108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результаты проведенной экспертизы со ссылками на конкретные структурные единицы нормативных правовых актов в области промышленной безопасности;</w:t>
      </w:r>
    </w:p>
    <w:p>
      <w:pPr>
        <w:pStyle w:val="Style18"/>
        <w:numPr>
          <w:ilvl w:val="0"/>
          <w:numId w:val="13"/>
        </w:numPr>
        <w:tabs>
          <w:tab w:leader="none" w:pos="110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выводы заключения экспертизы;</w:t>
      </w:r>
    </w:p>
    <w:p>
      <w:pPr>
        <w:pStyle w:val="Style18"/>
        <w:numPr>
          <w:ilvl w:val="0"/>
          <w:numId w:val="13"/>
        </w:numPr>
        <w:tabs>
          <w:tab w:leader="none" w:pos="122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приложения, предусмотренные пунктом 31 настоящих Правил;</w:t>
      </w:r>
    </w:p>
    <w:p>
      <w:pPr>
        <w:pStyle w:val="Style18"/>
        <w:numPr>
          <w:ilvl w:val="0"/>
          <w:numId w:val="13"/>
        </w:numPr>
        <w:tabs>
          <w:tab w:leader="none" w:pos="122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сведения о проведенных мероприятиях и о результатах технического диагностирования технических устройств, обследования зданий и сооружений (при их проведении).</w:t>
      </w:r>
    </w:p>
    <w:p>
      <w:pPr>
        <w:pStyle w:val="Style18"/>
        <w:numPr>
          <w:ilvl w:val="0"/>
          <w:numId w:val="3"/>
        </w:numPr>
        <w:tabs>
          <w:tab w:leader="none" w:pos="1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Заключение экспертизы должно содержать один из следующих выводов о соответствии объекта экспертизы требованиям промышленной безопасности (кроме экспертизы декларации промышленной безопасности и обоснования безопасности опасного производственного объекта):</w:t>
      </w:r>
    </w:p>
    <w:p>
      <w:pPr>
        <w:pStyle w:val="Style18"/>
        <w:numPr>
          <w:ilvl w:val="0"/>
          <w:numId w:val="15"/>
        </w:numPr>
        <w:tabs>
          <w:tab w:leader="none" w:pos="133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объект экспертизы соответствует требованиям промышленной безопасности и может быть применен при эксплуатации опасного производственного объекта;</w:t>
      </w:r>
    </w:p>
    <w:p>
      <w:pPr>
        <w:pStyle w:val="Style18"/>
        <w:numPr>
          <w:ilvl w:val="0"/>
          <w:numId w:val="15"/>
        </w:numPr>
        <w:tabs>
          <w:tab w:leader="none" w:pos="108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  <w:sectPr>
          <w:type w:val="continuous"/>
          <w:pgSz w:w="11900" w:h="16840"/>
          <w:pgMar w:top="1226" w:left="1085" w:right="644" w:bottom="1108" w:header="0" w:footer="3" w:gutter="0"/>
          <w:rtlGutter w:val="0"/>
          <w:cols w:space="720"/>
          <w:noEndnote/>
          <w:docGrid w:linePitch="360"/>
        </w:sectPr>
      </w:pPr>
      <w:r>
        <w:rPr>
          <w:rStyle w:val="CharStyle28"/>
        </w:rPr>
        <w:t>объект экспертизы не в полной мере соответствует требованиям промышленной безопасности и может быть применен при условии внесения соответствующих изменений в документацию или выполнения соответствующих мероприятий в отношении технических устройств либо зданий и сооружений (в заключении указываются изменения, после внесения которых документация будет соответствовать требованиям промышленной безопасности, либо мероприятия (в том числе мероприятия, компенсирующие несоответствия), после проведения которых или при выполнении которых в процессе применения техническое устройство, здания, сооружения будут соответствовать требованиям промышленной безопасности);</w:t>
      </w:r>
    </w:p>
    <w:p>
      <w:pPr>
        <w:pStyle w:val="Style18"/>
        <w:numPr>
          <w:ilvl w:val="0"/>
          <w:numId w:val="15"/>
        </w:numPr>
        <w:tabs>
          <w:tab w:leader="none" w:pos="110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объект экспертизы не соответствует требованиям промышленной безопасности и не может быть применен при эксплуатации опасного производственного объекта.</w:t>
      </w:r>
    </w:p>
    <w:p>
      <w:pPr>
        <w:pStyle w:val="Style18"/>
        <w:numPr>
          <w:ilvl w:val="0"/>
          <w:numId w:val="3"/>
        </w:numPr>
        <w:tabs>
          <w:tab w:leader="none" w:pos="1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По результатам экспертизы технического устройства, зданий и сооружений опасных производственных объектов в заключении экспертизы должны дополнительно приводиться сведения о расчетных и аналитических процедурах оценки и прогнозирования технического состояния объекта экспертизы, включающие определение остаточного ресурса (срока службы) с отражением в выводах заключения экспертизы установленного срока дальнейшей безопасной эксплуатации объекта экспертизы, с указанием условий дальнейшей безопасной эксплуатации.</w:t>
      </w:r>
    </w:p>
    <w:p>
      <w:pPr>
        <w:pStyle w:val="Style18"/>
        <w:numPr>
          <w:ilvl w:val="0"/>
          <w:numId w:val="3"/>
        </w:numPr>
        <w:tabs>
          <w:tab w:leader="none" w:pos="117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По результатам проведения экспертизы декларации промышленной безопасности в заключении экспертизы должны содержаться следующие выводы: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об обоснованности применяемых физико-математических моделей и использованных методов расчета последствий аварии и показателей риска;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о правильности и достоверности выполненных расчетов по анализу риска, а также полноты учета факторов, влияющих на конечные результаты;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о вероятности реализации принятых сценариев аварий и возможности выхода поражающих факторов этих аварий за границу опасного производственного объекта, а также последствиях воздействия поражающих факторов на население, другие объекты, окружающую среду;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о достаточности мер предотвращения проникновения на опасный производственный объект посторонних лиц.</w:t>
      </w:r>
    </w:p>
    <w:p>
      <w:pPr>
        <w:pStyle w:val="Style18"/>
        <w:numPr>
          <w:ilvl w:val="0"/>
          <w:numId w:val="3"/>
        </w:numPr>
        <w:tabs>
          <w:tab w:leader="none" w:pos="1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При проведении экспертизы обоснования безопасности опасного производственного объекта или вносимых в него изменений в заключении экспертизы должны содержаться следующие сведения: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оценка полноты и достоверности информации, представленной в обосновании безопасности;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28"/>
        </w:rPr>
        <w:t>оценка полноты и достаточности мероприятий, компенсирующих отступления от норм и правил в области промышленной безопасности;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оценка обоснованности результатов оценки риска аварий, в том числе адекватности применяемых физико-математических моделей и использованных методов расчетов по оценке риска, правильности и достоверности этих расчетов, а также полноты учета всех факторов, влияющих на конечные результаты;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оценка учета современного опыта эксплуатации, капитального ремонта, консервации и ликвидации опасных производственных объектов в обосновании безопасности;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оценка полноты требований к эксплуатации, капитальному ремонту, консервации или ликвидации опасного производственного объекта, установленных в обосновании безопасности.</w:t>
      </w:r>
    </w:p>
    <w:p>
      <w:pPr>
        <w:pStyle w:val="Style18"/>
        <w:numPr>
          <w:ilvl w:val="0"/>
          <w:numId w:val="3"/>
        </w:numPr>
        <w:tabs>
          <w:tab w:leader="none" w:pos="2937" w:val="left"/>
          <w:tab w:leader="none" w:pos="4881" w:val="left"/>
          <w:tab w:leader="none" w:pos="897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 xml:space="preserve"> Заключение</w:t>
        <w:tab/>
        <w:t>экспертизы</w:t>
        <w:tab/>
        <w:t>обоснования безопасности</w:t>
        <w:tab/>
        <w:t>опасного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8"/>
        </w:rPr>
        <w:t>производственного объекта содержит один из следующих выводов:</w:t>
      </w:r>
    </w:p>
    <w:p>
      <w:pPr>
        <w:pStyle w:val="Style18"/>
        <w:numPr>
          <w:ilvl w:val="0"/>
          <w:numId w:val="17"/>
        </w:numPr>
        <w:tabs>
          <w:tab w:leader="none" w:pos="2937" w:val="left"/>
          <w:tab w:leader="none" w:pos="4881" w:val="left"/>
          <w:tab w:leader="none" w:pos="897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 xml:space="preserve"> обоснование</w:t>
        <w:tab/>
        <w:t>безопасности</w:t>
        <w:tab/>
        <w:t>опасного производственного</w:t>
        <w:tab/>
        <w:t>объекта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8"/>
        </w:rPr>
        <w:t>соответствует требованиям промышленной безопасности;</w:t>
      </w:r>
    </w:p>
    <w:p>
      <w:pPr>
        <w:pStyle w:val="Style18"/>
        <w:numPr>
          <w:ilvl w:val="0"/>
          <w:numId w:val="17"/>
        </w:numPr>
        <w:tabs>
          <w:tab w:leader="none" w:pos="110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обоснование безопасности опасного производственного объекта не соответствует требованиям промышленной безопасности.</w:t>
      </w:r>
    </w:p>
    <w:p>
      <w:pPr>
        <w:pStyle w:val="Style18"/>
        <w:numPr>
          <w:ilvl w:val="0"/>
          <w:numId w:val="3"/>
        </w:numPr>
        <w:tabs>
          <w:tab w:leader="none" w:pos="122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60"/>
      </w:pPr>
      <w:r>
        <w:rPr>
          <w:rStyle w:val="CharStyle28"/>
        </w:rPr>
        <w:t>Заключение экспертизы представляется заказчиком в федеральный орган исполнительной власти, осуществляющий контрольные и (или) надзорные функции в области промышленной безопасности на опасном производственном объекте, в отношении которого проведена экспертиза (его территориальный орган), для внесения в реестр заключений экспертизы промышленной безопасности.</w:t>
      </w:r>
      <w:r>
        <w:rPr>
          <w:rStyle w:val="CharStyle28"/>
          <w:vertAlign w:val="superscript"/>
        </w:rPr>
        <w:t>15</w:t>
      </w:r>
    </w:p>
    <w:sectPr>
      <w:headerReference w:type="default" r:id="rId17"/>
      <w:footerReference w:type="default" r:id="rId18"/>
      <w:headerReference w:type="first" r:id="rId19"/>
      <w:footerReference w:type="first" r:id="rId20"/>
      <w:titlePg/>
      <w:pgSz w:w="11900" w:h="16840"/>
      <w:pgMar w:top="1226" w:left="1085" w:right="644" w:bottom="1108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44" type="#_x0000_t202" style="position:absolute;margin-left:56.3pt;margin-top:791.1pt;width:504.7pt;height:22.1pt;z-index:-188744058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2"/>
                    <w:vertAlign w:val="superscript"/>
                    <w:b w:val="0"/>
                    <w:bCs w:val="0"/>
                  </w:rPr>
                  <w:t>14</w:t>
                </w:r>
                <w:r>
                  <w:rPr>
                    <w:rStyle w:val="CharStyle32"/>
                    <w:b w:val="0"/>
                    <w:bCs w:val="0"/>
                  </w:rPr>
                  <w:t xml:space="preserve"> Пункт 4 статьи 13 Федерального закона от 21 июля 1997 г. № 116-ФЗ «О промышленной безопасности опасных</w:t>
                </w:r>
              </w:p>
              <w:p>
                <w:pPr>
                  <w:pStyle w:val="Style2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2"/>
                    <w:b w:val="0"/>
                    <w:bCs w:val="0"/>
                  </w:rPr>
                  <w:t>производственных объектов».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46" type="#_x0000_t202" style="position:absolute;margin-left:55.2pt;margin-top:791.1pt;width:504.7pt;height:22.3pt;z-index:-188744056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2"/>
                    <w:vertAlign w:val="superscript"/>
                    <w:b w:val="0"/>
                    <w:bCs w:val="0"/>
                  </w:rPr>
                  <w:t>15</w:t>
                </w:r>
                <w:r>
                  <w:rPr>
                    <w:rStyle w:val="CharStyle32"/>
                    <w:b w:val="0"/>
                    <w:bCs w:val="0"/>
                  </w:rPr>
                  <w:t xml:space="preserve"> Пункт 5 статьи 13 Федерального закона от 21 июля 1997 г. № 116-ФЗ «О промышленной безопасности опасных</w:t>
                </w:r>
              </w:p>
              <w:p>
                <w:pPr>
                  <w:pStyle w:val="Style2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2"/>
                    <w:b w:val="0"/>
                    <w:bCs w:val="0"/>
                  </w:rPr>
                  <w:t>производственных объектов».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3"/>
        <w:tabs>
          <w:tab w:leader="none" w:pos="11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Пункт 2 статьи 7 Федерального закона от 21 июля 1997 г. № 116-ФЗ «О промышленной безопасности опасных производственных объектов».</w:t>
      </w:r>
    </w:p>
  </w:footnote>
  <w:footnote w:id="3">
    <w:p>
      <w:pPr>
        <w:pStyle w:val="Style3"/>
        <w:tabs>
          <w:tab w:leader="none" w:pos="14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Положение об аттестации экспертов в области промышленной безопасности, утверждённым постановлением Правительства Российской Федерации от 28 мая 2015 г. № 509 (Собрание законодательства Российской Федерации, 2015, № 23, ст. 3313; 2020, № 30, ст. 4898) (далее - Положение).</w:t>
      </w:r>
    </w:p>
  </w:footnote>
  <w:footnote w:id="4">
    <w:p>
      <w:pPr>
        <w:pStyle w:val="Style3"/>
        <w:tabs>
          <w:tab w:leader="none" w:pos="16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Статья 1 Федерального закона от 21 июля 1997 г. № 116-ФЗ «О промышленной безопасности опасных производственных объектов».</w:t>
      </w:r>
    </w:p>
  </w:footnote>
  <w:footnote w:id="5">
    <w:p>
      <w:pPr>
        <w:pStyle w:val="Style3"/>
        <w:tabs>
          <w:tab w:leader="none" w:pos="11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Подпункт «а» пункта 16 Положения.</w:t>
      </w:r>
    </w:p>
  </w:footnote>
  <w:footnote w:id="6">
    <w:p>
      <w:pPr>
        <w:pStyle w:val="Style3"/>
        <w:tabs>
          <w:tab w:leader="none" w:pos="11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Подпункт «а» пункта 16 Положения.</w:t>
      </w:r>
    </w:p>
  </w:footnote>
  <w:footnote w:id="7">
    <w:p>
      <w:pPr>
        <w:pStyle w:val="Style3"/>
        <w:tabs>
          <w:tab w:leader="none" w:pos="115" w:val="lef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Подпункт «а» пункта 16 Положения.</w:t>
      </w:r>
    </w:p>
  </w:footnote>
  <w:footnote w:id="8">
    <w:p>
      <w:pPr>
        <w:pStyle w:val="Style3"/>
        <w:tabs>
          <w:tab w:leader="none" w:pos="115" w:val="left"/>
        </w:tabs>
        <w:widowControl w:val="0"/>
        <w:keepNext w:val="0"/>
        <w:keepLines w:val="0"/>
        <w:shd w:val="clear" w:color="auto" w:fill="auto"/>
        <w:bidi w:val="0"/>
        <w:spacing w:before="0" w:after="0" w:line="211" w:lineRule="exact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Пункт 10 статьи 13 Федерального закона от 21 июля 1997 г. № 116-ФЗ «О промышленной безопасности опасных производственных объектов».</w:t>
      </w:r>
    </w:p>
  </w:footnote>
  <w:footnote w:id="9">
    <w:p>
      <w:pPr>
        <w:pStyle w:val="Style3"/>
        <w:tabs>
          <w:tab w:leader="none" w:pos="115" w:val="left"/>
        </w:tabs>
        <w:widowControl w:val="0"/>
        <w:keepNext w:val="0"/>
        <w:keepLines w:val="0"/>
        <w:shd w:val="clear" w:color="auto" w:fill="auto"/>
        <w:bidi w:val="0"/>
        <w:spacing w:before="0" w:after="0" w:line="216" w:lineRule="exact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Пункт 9 статьи 13 Федерального закона от 21 июля 1997 г. № 116-ФЗ «О промышленной безопасности опасных производственных объектов».</w:t>
      </w:r>
    </w:p>
  </w:footnote>
  <w:footnote w:id="10">
    <w:p>
      <w:pPr>
        <w:pStyle w:val="Style3"/>
        <w:tabs>
          <w:tab w:leader="none" w:pos="115" w:val="left"/>
        </w:tabs>
        <w:widowControl w:val="0"/>
        <w:keepNext w:val="0"/>
        <w:keepLines w:val="0"/>
        <w:shd w:val="clear" w:color="auto" w:fill="auto"/>
        <w:bidi w:val="0"/>
        <w:spacing w:before="0" w:after="0" w:line="211" w:lineRule="exact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Пункт 3 статьи 13 Федерального закона от 21 июля 1997 г. № 116-ФЗ «О промышленной безопасности опасных производственных объектов».</w:t>
      </w:r>
    </w:p>
  </w:footnote>
  <w:footnote w:id="11">
    <w:p>
      <w:pPr>
        <w:pStyle w:val="Style3"/>
        <w:tabs>
          <w:tab w:leader="none" w:pos="17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16" w:lineRule="exact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Пункт 2 статьи 13 Федерального закона от 21 июля 1997 г. № 116-ФЗ «О промышленной безопасности опасных производственных объектов».</w:t>
      </w:r>
    </w:p>
  </w:footnote>
  <w:footnote w:id="12">
    <w:p>
      <w:pPr>
        <w:pStyle w:val="Style3"/>
        <w:tabs>
          <w:tab w:leader="none" w:pos="178" w:val="left"/>
        </w:tabs>
        <w:widowControl w:val="0"/>
        <w:keepNext w:val="0"/>
        <w:keepLines w:val="0"/>
        <w:shd w:val="clear" w:color="auto" w:fill="auto"/>
        <w:bidi w:val="0"/>
        <w:spacing w:before="0" w:after="0" w:line="216" w:lineRule="exact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Пункт 2 статьи 13 Федерального закона от 21 июля 1997 г. № 116-ФЗ «О промышленной безопасности опасных производственных объектов».</w:t>
      </w:r>
    </w:p>
  </w:footnote>
  <w:footnote w:id="13">
    <w:p>
      <w:pPr>
        <w:pStyle w:val="Style3"/>
        <w:tabs>
          <w:tab w:leader="none" w:pos="173" w:val="left"/>
        </w:tabs>
        <w:widowControl w:val="0"/>
        <w:keepNext w:val="0"/>
        <w:keepLines w:val="0"/>
        <w:shd w:val="clear" w:color="auto" w:fill="auto"/>
        <w:bidi w:val="0"/>
        <w:spacing w:before="0" w:after="0" w:line="211" w:lineRule="exact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Пункт 3 статьи 2 Федеральному закону от 21 июля 1997 г. № 116-ФЗ «О промышленной безопасности опасных производственных объектов».</w:t>
      </w:r>
    </w:p>
  </w:footnote>
  <w:footnote w:id="14">
    <w:p>
      <w:pPr>
        <w:pStyle w:val="Style3"/>
        <w:tabs>
          <w:tab w:leader="none" w:pos="178" w:val="left"/>
        </w:tabs>
        <w:widowControl w:val="0"/>
        <w:keepNext w:val="0"/>
        <w:keepLines w:val="0"/>
        <w:shd w:val="clear" w:color="auto" w:fill="auto"/>
        <w:bidi w:val="0"/>
        <w:spacing w:before="0" w:after="0" w:line="216" w:lineRule="exact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Пункт 3 статьи 2 Федеральному закону от 21 июля 1997 г. № 116-ФЗ «О промышленной безопасности опасных производственных объектов».</w:t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41" type="#_x0000_t202" style="position:absolute;margin-left:302.05pt;margin-top:18.1pt;width:12.pt;height:10.1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1"/>
                      <w:b/>
                      <w:bCs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42" type="#_x0000_t202" style="position:absolute;margin-left:302.05pt;margin-top:18.1pt;width:12.pt;height:10.1pt;z-index:-188744060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1"/>
                      <w:b/>
                      <w:bCs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43" type="#_x0000_t202" style="position:absolute;margin-left:303.pt;margin-top:43.75pt;width:10.55pt;height:9.85pt;z-index:-188744059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1"/>
                      <w:b/>
                      <w:bCs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45" type="#_x0000_t202" style="position:absolute;margin-left:303.1pt;margin-top:44.95pt;width:12.pt;height:9.85pt;z-index:-188744057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1"/>
                      <w:b/>
                      <w:bCs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47" type="#_x0000_t202" style="position:absolute;margin-left:302.05pt;margin-top:18.1pt;width:12.pt;height:10.1pt;z-index:-188744055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1"/>
                      <w:b/>
                      <w:bCs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"/>
      <w:numFmt w:val="upperRoman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pos w:val="pageBottom"/>
    <w:numFmt w:val="decimal"/>
    <w:numStart w:val="1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Сноска (4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20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98"/>
      <w:szCs w:val="98"/>
      <w:rFonts w:ascii="Impact" w:eastAsia="Impact" w:hAnsi="Impact" w:cs="Impact"/>
    </w:rPr>
  </w:style>
  <w:style w:type="character" w:customStyle="1" w:styleId="CharStyle8">
    <w:name w:val="Основной текст (21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0"/>
    </w:rPr>
  </w:style>
  <w:style w:type="character" w:customStyle="1" w:styleId="CharStyle10">
    <w:name w:val="Основной текст (22) Exact"/>
    <w:basedOn w:val="DefaultParagraphFont"/>
    <w:link w:val="Style9"/>
    <w:rPr>
      <w:b w:val="0"/>
      <w:bCs w:val="0"/>
      <w:i/>
      <w:iCs/>
      <w:u w:val="none"/>
      <w:strike w:val="0"/>
      <w:smallCaps w:val="0"/>
      <w:sz w:val="36"/>
      <w:szCs w:val="36"/>
      <w:rFonts w:ascii="Cambria" w:eastAsia="Cambria" w:hAnsi="Cambria" w:cs="Cambria"/>
    </w:rPr>
  </w:style>
  <w:style w:type="character" w:customStyle="1" w:styleId="CharStyle12">
    <w:name w:val="Основной текст (11) Exact"/>
    <w:basedOn w:val="DefaultParagraphFont"/>
    <w:link w:val="Style1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 (11) Exact"/>
    <w:basedOn w:val="CharStyle12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Заголовок №1 (2) Exact"/>
    <w:basedOn w:val="DefaultParagraphFont"/>
    <w:link w:val="Style14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100"/>
    </w:rPr>
  </w:style>
  <w:style w:type="character" w:customStyle="1" w:styleId="CharStyle17">
    <w:name w:val="Основной текст (24) Exact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6"/>
      <w:szCs w:val="26"/>
      <w:rFonts w:ascii="Arial" w:eastAsia="Arial" w:hAnsi="Arial" w:cs="Arial"/>
    </w:rPr>
  </w:style>
  <w:style w:type="character" w:customStyle="1" w:styleId="CharStyle19">
    <w:name w:val="Основной текст (14) Exact"/>
    <w:basedOn w:val="DefaultParagraphFont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20">
    <w:name w:val="Основной текст (14) Exact"/>
    <w:basedOn w:val="CharStyle27"/>
    <w:rPr>
      <w:b/>
      <w:bCs/>
      <w:sz w:val="28"/>
      <w:szCs w:val="28"/>
    </w:rPr>
  </w:style>
  <w:style w:type="character" w:customStyle="1" w:styleId="CharStyle22">
    <w:name w:val="Колонтитул Exact"/>
    <w:basedOn w:val="DefaultParagraphFont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0"/>
    </w:rPr>
  </w:style>
  <w:style w:type="character" w:customStyle="1" w:styleId="CharStyle23">
    <w:name w:val="Колонтитул Exact"/>
    <w:basedOn w:val="CharStyle30"/>
    <w:rPr>
      <w:sz w:val="26"/>
      <w:szCs w:val="26"/>
      <w:spacing w:val="0"/>
    </w:rPr>
  </w:style>
  <w:style w:type="character" w:customStyle="1" w:styleId="CharStyle25">
    <w:name w:val="Заголовок №2 (3)_"/>
    <w:basedOn w:val="DefaultParagraphFont"/>
    <w:link w:val="Style24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26">
    <w:name w:val="Заголовок №2 (3) + Не полужирный"/>
    <w:basedOn w:val="CharStyle2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14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28">
    <w:name w:val="Основной текст (14)"/>
    <w:basedOn w:val="CharStyle27"/>
    <w:rPr>
      <w:lang w:val="ru-RU" w:eastAsia="ru-RU" w:bidi="ru-RU"/>
      <w:b/>
      <w:bCs/>
      <w:sz w:val="28"/>
      <w:szCs w:val="28"/>
      <w:w w:val="100"/>
      <w:spacing w:val="0"/>
      <w:color w:val="000000"/>
      <w:position w:val="0"/>
    </w:rPr>
  </w:style>
  <w:style w:type="character" w:customStyle="1" w:styleId="CharStyle29">
    <w:name w:val="Основной текст (14) + Интервал 2 pt"/>
    <w:basedOn w:val="CharStyle27"/>
    <w:rPr>
      <w:lang w:val="ru-RU" w:eastAsia="ru-RU" w:bidi="ru-RU"/>
      <w:b/>
      <w:bCs/>
      <w:sz w:val="28"/>
      <w:szCs w:val="28"/>
      <w:w w:val="100"/>
      <w:spacing w:val="40"/>
      <w:color w:val="000000"/>
      <w:position w:val="0"/>
    </w:rPr>
  </w:style>
  <w:style w:type="character" w:customStyle="1" w:styleId="CharStyle30">
    <w:name w:val="Колонтитул_"/>
    <w:basedOn w:val="DefaultParagraphFont"/>
    <w:link w:val="Style2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0"/>
    </w:rPr>
  </w:style>
  <w:style w:type="character" w:customStyle="1" w:styleId="CharStyle31">
    <w:name w:val="Колонтитул"/>
    <w:basedOn w:val="CharStyle30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32">
    <w:name w:val="Колонтитул + 10 pt,Не полужирный"/>
    <w:basedOn w:val="CharStyle30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34">
    <w:name w:val="Основной текст (8)_"/>
    <w:basedOn w:val="DefaultParagraphFont"/>
    <w:link w:val="Style33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0"/>
    </w:rPr>
  </w:style>
  <w:style w:type="character" w:customStyle="1" w:styleId="CharStyle35">
    <w:name w:val="Основной текст (8) + Интервал 0 pt"/>
    <w:basedOn w:val="CharStyle34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Сноска (4)"/>
    <w:basedOn w:val="Normal"/>
    <w:link w:val="CharStyle4"/>
    <w:pPr>
      <w:widowControl w:val="0"/>
      <w:shd w:val="clear" w:color="auto" w:fill="FFFFFF"/>
      <w:jc w:val="both"/>
      <w:spacing w:line="226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20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98"/>
      <w:szCs w:val="98"/>
      <w:rFonts w:ascii="Impact" w:eastAsia="Impact" w:hAnsi="Impact" w:cs="Impact"/>
    </w:rPr>
  </w:style>
  <w:style w:type="paragraph" w:customStyle="1" w:styleId="Style7">
    <w:name w:val="Основной текст (21)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0"/>
    </w:rPr>
  </w:style>
  <w:style w:type="paragraph" w:customStyle="1" w:styleId="Style9">
    <w:name w:val="Основной текст (22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36"/>
      <w:szCs w:val="36"/>
      <w:rFonts w:ascii="Cambria" w:eastAsia="Cambria" w:hAnsi="Cambria" w:cs="Cambria"/>
    </w:rPr>
  </w:style>
  <w:style w:type="paragraph" w:customStyle="1" w:styleId="Style11">
    <w:name w:val="Основной текст (11)"/>
    <w:basedOn w:val="Normal"/>
    <w:link w:val="CharStyle12"/>
    <w:pPr>
      <w:widowControl w:val="0"/>
      <w:shd w:val="clear" w:color="auto" w:fill="FFFFFF"/>
      <w:jc w:val="both"/>
      <w:spacing w:line="485" w:lineRule="exact"/>
      <w:ind w:firstLine="74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Заголовок №1 (2)"/>
    <w:basedOn w:val="Normal"/>
    <w:link w:val="CharStyle15"/>
    <w:pPr>
      <w:widowControl w:val="0"/>
      <w:shd w:val="clear" w:color="auto" w:fill="FFFFFF"/>
      <w:outlineLvl w:val="0"/>
      <w:spacing w:after="360"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100"/>
    </w:rPr>
  </w:style>
  <w:style w:type="paragraph" w:customStyle="1" w:styleId="Style16">
    <w:name w:val="Основной текст (24)"/>
    <w:basedOn w:val="Normal"/>
    <w:link w:val="CharStyle17"/>
    <w:pPr>
      <w:widowControl w:val="0"/>
      <w:shd w:val="clear" w:color="auto" w:fill="FFFFFF"/>
      <w:spacing w:before="360"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Arial" w:eastAsia="Arial" w:hAnsi="Arial" w:cs="Arial"/>
    </w:rPr>
  </w:style>
  <w:style w:type="paragraph" w:customStyle="1" w:styleId="Style18">
    <w:name w:val="Основной текст (14)"/>
    <w:basedOn w:val="Normal"/>
    <w:link w:val="CharStyle27"/>
    <w:pPr>
      <w:widowControl w:val="0"/>
      <w:shd w:val="clear" w:color="auto" w:fill="FFFFFF"/>
      <w:jc w:val="both"/>
      <w:spacing w:line="485" w:lineRule="exact"/>
      <w:ind w:firstLine="740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21">
    <w:name w:val="Колонтитул"/>
    <w:basedOn w:val="Normal"/>
    <w:link w:val="CharStyle30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0"/>
    </w:rPr>
  </w:style>
  <w:style w:type="paragraph" w:customStyle="1" w:styleId="Style24">
    <w:name w:val="Заголовок №2 (3)"/>
    <w:basedOn w:val="Normal"/>
    <w:link w:val="CharStyle25"/>
    <w:pPr>
      <w:widowControl w:val="0"/>
      <w:shd w:val="clear" w:color="auto" w:fill="FFFFFF"/>
      <w:jc w:val="center"/>
      <w:outlineLvl w:val="1"/>
      <w:spacing w:before="720" w:after="420" w:line="379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33">
    <w:name w:val="Основной текст (8)"/>
    <w:basedOn w:val="Normal"/>
    <w:link w:val="CharStyle34"/>
    <w:pPr>
      <w:widowControl w:val="0"/>
      <w:shd w:val="clear" w:color="auto" w:fill="FFFFFF"/>
      <w:spacing w:line="485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header" Target="header3.xml"/><Relationship Id="rId16" Type="http://schemas.openxmlformats.org/officeDocument/2006/relationships/footer" Target="footer1.xml"/><Relationship Id="rId17" Type="http://schemas.openxmlformats.org/officeDocument/2006/relationships/header" Target="header4.xml"/><Relationship Id="rId18" Type="http://schemas.openxmlformats.org/officeDocument/2006/relationships/footer" Target="footer2.xml"/><Relationship Id="rId19" Type="http://schemas.openxmlformats.org/officeDocument/2006/relationships/header" Target="header5.xml"/><Relationship Id="rId20" Type="http://schemas.openxmlformats.org/officeDocument/2006/relationships/footer" Target="footer3.xml"/></Relationships>
</file>